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695A" w14:textId="7A112394" w:rsidR="00775C35" w:rsidRPr="00B404C6" w:rsidRDefault="00775C35" w:rsidP="00775C35">
      <w:pPr>
        <w:rPr>
          <w:rFonts w:ascii="Arial" w:hAnsi="Arial" w:cs="Arial"/>
          <w:b/>
          <w:bCs/>
        </w:rPr>
      </w:pPr>
      <w:r w:rsidRPr="00B404C6">
        <w:rPr>
          <w:rFonts w:ascii="Arial" w:hAnsi="Arial" w:cs="Arial"/>
          <w:b/>
          <w:bCs/>
        </w:rPr>
        <w:t>FINANCIAL REPORT FOR THE YEAR ENDING 31 MARCH 2023</w:t>
      </w:r>
    </w:p>
    <w:p w14:paraId="2B8ECAC5" w14:textId="4C0C0624" w:rsidR="004A02E2" w:rsidRPr="00B404C6" w:rsidRDefault="00775C35" w:rsidP="00D6784A">
      <w:pPr>
        <w:rPr>
          <w:rFonts w:ascii="Arial" w:hAnsi="Arial" w:cs="Arial"/>
        </w:rPr>
      </w:pPr>
      <w:r w:rsidRPr="00B404C6">
        <w:rPr>
          <w:rFonts w:ascii="Arial" w:hAnsi="Arial" w:cs="Arial"/>
        </w:rPr>
        <w:t>The opening bank balance</w:t>
      </w:r>
      <w:r w:rsidR="00A44E59" w:rsidRPr="00B404C6">
        <w:rPr>
          <w:rFonts w:ascii="Arial" w:hAnsi="Arial" w:cs="Arial"/>
        </w:rPr>
        <w:t>s</w:t>
      </w:r>
      <w:r w:rsidRPr="00B404C6">
        <w:rPr>
          <w:rFonts w:ascii="Arial" w:hAnsi="Arial" w:cs="Arial"/>
        </w:rPr>
        <w:t xml:space="preserve"> w</w:t>
      </w:r>
      <w:r w:rsidR="00A44E59" w:rsidRPr="00B404C6">
        <w:rPr>
          <w:rFonts w:ascii="Arial" w:hAnsi="Arial" w:cs="Arial"/>
        </w:rPr>
        <w:t>ere</w:t>
      </w:r>
      <w:r w:rsidRPr="00B404C6">
        <w:rPr>
          <w:rFonts w:ascii="Arial" w:hAnsi="Arial" w:cs="Arial"/>
        </w:rPr>
        <w:t xml:space="preserve"> £15,629</w:t>
      </w:r>
      <w:r w:rsidR="00A44E59" w:rsidRPr="00B404C6">
        <w:rPr>
          <w:rFonts w:ascii="Arial" w:hAnsi="Arial" w:cs="Arial"/>
        </w:rPr>
        <w:t xml:space="preserve"> and </w:t>
      </w:r>
      <w:r w:rsidR="00162071" w:rsidRPr="00B404C6">
        <w:rPr>
          <w:rFonts w:ascii="Arial" w:hAnsi="Arial" w:cs="Arial"/>
        </w:rPr>
        <w:t>£25</w:t>
      </w:r>
      <w:r w:rsidR="00AB47AF" w:rsidRPr="00B404C6">
        <w:rPr>
          <w:rFonts w:ascii="Arial" w:hAnsi="Arial" w:cs="Arial"/>
        </w:rPr>
        <w:t xml:space="preserve">,431 in the </w:t>
      </w:r>
      <w:r w:rsidR="00162071" w:rsidRPr="00B404C6">
        <w:rPr>
          <w:rFonts w:ascii="Arial" w:hAnsi="Arial" w:cs="Arial"/>
        </w:rPr>
        <w:t>Fighting fund</w:t>
      </w:r>
      <w:r w:rsidRPr="00B404C6">
        <w:rPr>
          <w:rFonts w:ascii="Arial" w:hAnsi="Arial" w:cs="Arial"/>
        </w:rPr>
        <w:t xml:space="preserve">. Reserves had been set </w:t>
      </w:r>
      <w:r w:rsidR="00CA5020" w:rsidRPr="00B404C6">
        <w:rPr>
          <w:rFonts w:ascii="Arial" w:hAnsi="Arial" w:cs="Arial"/>
        </w:rPr>
        <w:t>as</w:t>
      </w:r>
      <w:r w:rsidRPr="00B404C6">
        <w:rPr>
          <w:rFonts w:ascii="Arial" w:hAnsi="Arial" w:cs="Arial"/>
        </w:rPr>
        <w:t xml:space="preserve"> £8,000 improvements to assets</w:t>
      </w:r>
      <w:r w:rsidR="00CA5020" w:rsidRPr="00B404C6">
        <w:rPr>
          <w:rFonts w:ascii="Arial" w:hAnsi="Arial" w:cs="Arial"/>
        </w:rPr>
        <w:t xml:space="preserve"> </w:t>
      </w:r>
      <w:r w:rsidRPr="00B404C6">
        <w:rPr>
          <w:rFonts w:ascii="Arial" w:hAnsi="Arial" w:cs="Arial"/>
        </w:rPr>
        <w:t xml:space="preserve">and the balance </w:t>
      </w:r>
      <w:r w:rsidR="009F4EB2" w:rsidRPr="00B404C6">
        <w:rPr>
          <w:rFonts w:ascii="Arial" w:hAnsi="Arial" w:cs="Arial"/>
        </w:rPr>
        <w:t>for</w:t>
      </w:r>
      <w:r w:rsidRPr="00B404C6">
        <w:rPr>
          <w:rFonts w:ascii="Arial" w:hAnsi="Arial" w:cs="Arial"/>
        </w:rPr>
        <w:t xml:space="preserve"> general reserve. The </w:t>
      </w:r>
      <w:r w:rsidR="00CA5020" w:rsidRPr="00B404C6">
        <w:rPr>
          <w:rFonts w:ascii="Arial" w:hAnsi="Arial" w:cs="Arial"/>
        </w:rPr>
        <w:t xml:space="preserve">£3,850 remaining grant funds </w:t>
      </w:r>
      <w:r w:rsidRPr="00B404C6">
        <w:rPr>
          <w:rFonts w:ascii="Arial" w:hAnsi="Arial" w:cs="Arial"/>
        </w:rPr>
        <w:t>had continued to provide additional finance support for this year and had allowed the precept to remain as the previous year.</w:t>
      </w:r>
      <w:r w:rsidR="004A02E2" w:rsidRPr="00B404C6">
        <w:rPr>
          <w:rFonts w:ascii="Arial" w:hAnsi="Arial" w:cs="Arial"/>
        </w:rPr>
        <w:t xml:space="preserve"> </w:t>
      </w:r>
      <w:r w:rsidR="00D6784A" w:rsidRPr="00B404C6">
        <w:rPr>
          <w:rFonts w:ascii="Arial" w:hAnsi="Arial" w:cs="Arial"/>
        </w:rPr>
        <w:t xml:space="preserve">During the year income </w:t>
      </w:r>
      <w:r w:rsidR="00254808" w:rsidRPr="00B404C6">
        <w:rPr>
          <w:rFonts w:ascii="Arial" w:hAnsi="Arial" w:cs="Arial"/>
        </w:rPr>
        <w:t>and expenditure w</w:t>
      </w:r>
      <w:r w:rsidR="00373A63">
        <w:rPr>
          <w:rFonts w:ascii="Arial" w:hAnsi="Arial" w:cs="Arial"/>
        </w:rPr>
        <w:t>ere</w:t>
      </w:r>
      <w:r w:rsidR="00D6784A" w:rsidRPr="00B404C6">
        <w:rPr>
          <w:rFonts w:ascii="Arial" w:hAnsi="Arial" w:cs="Arial"/>
        </w:rPr>
        <w:t xml:space="preserve"> as follows:</w:t>
      </w:r>
    </w:p>
    <w:tbl>
      <w:tblPr>
        <w:tblW w:w="19782" w:type="dxa"/>
        <w:tblInd w:w="-5" w:type="dxa"/>
        <w:tblLook w:val="04A0" w:firstRow="1" w:lastRow="0" w:firstColumn="1" w:lastColumn="0" w:noHBand="0" w:noVBand="1"/>
      </w:tblPr>
      <w:tblGrid>
        <w:gridCol w:w="272"/>
        <w:gridCol w:w="320"/>
        <w:gridCol w:w="1818"/>
        <w:gridCol w:w="988"/>
        <w:gridCol w:w="514"/>
        <w:gridCol w:w="599"/>
        <w:gridCol w:w="766"/>
        <w:gridCol w:w="320"/>
        <w:gridCol w:w="320"/>
        <w:gridCol w:w="1365"/>
        <w:gridCol w:w="320"/>
        <w:gridCol w:w="1200"/>
        <w:gridCol w:w="640"/>
        <w:gridCol w:w="640"/>
        <w:gridCol w:w="1200"/>
        <w:gridCol w:w="640"/>
        <w:gridCol w:w="640"/>
        <w:gridCol w:w="8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A71995" w:rsidRPr="00D6784A" w14:paraId="28E5EE2E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0DE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C1B8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64BE" w14:textId="77777777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6,500.00</w:t>
            </w:r>
          </w:p>
        </w:tc>
      </w:tr>
      <w:tr w:rsidR="00A71995" w:rsidRPr="00D6784A" w14:paraId="095AFA00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820A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Individual pavilion hire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38982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0BD5" w14:textId="1F1D07A0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290.</w:t>
            </w: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00</w:t>
            </w:r>
          </w:p>
        </w:tc>
      </w:tr>
      <w:tr w:rsidR="00A71995" w:rsidRPr="00D6784A" w14:paraId="306AF6FE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5966A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Ukulele Club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80DC3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E6F4" w14:textId="7413C636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</w:t>
            </w: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.00</w:t>
            </w:r>
          </w:p>
        </w:tc>
      </w:tr>
      <w:tr w:rsidR="00A71995" w:rsidRPr="00D6784A" w14:paraId="4D2BE41B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2C3E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Cricket Club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0252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B552" w14:textId="43F41B1B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2,364.45</w:t>
            </w:r>
          </w:p>
        </w:tc>
      </w:tr>
      <w:tr w:rsidR="00A71995" w:rsidRPr="00D6784A" w14:paraId="2997795B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CABC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Football club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497E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2D49" w14:textId="068F60F7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39</w:t>
            </w: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A71995" w:rsidRPr="00D6784A" w14:paraId="001C48D4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FE1B1" w14:textId="33E579F4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field hire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21592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26CD0" w14:textId="7522FB82" w:rsidR="00A71995" w:rsidRPr="00E1758E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A71995" w:rsidRPr="00D6784A" w14:paraId="1E89A720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525B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Fireworks Takings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2CAD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1A47D" w14:textId="1EEC3D82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1,648</w:t>
            </w: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71995" w:rsidRPr="00D6784A" w14:paraId="1B1C3DD6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4753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Reclaimed VAT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06AE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1EA6" w14:textId="60225834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13,659.57</w:t>
            </w:r>
          </w:p>
        </w:tc>
      </w:tr>
      <w:tr w:rsidR="00A71995" w:rsidRPr="00D6784A" w14:paraId="6D8FDBC3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2D682" w14:textId="62DFFD0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Coronation grant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C39CD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261FD" w14:textId="1E86DEE4" w:rsidR="00A71995" w:rsidRPr="00E1758E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450.00</w:t>
            </w:r>
          </w:p>
        </w:tc>
      </w:tr>
      <w:tr w:rsidR="00A71995" w:rsidRPr="00D6784A" w14:paraId="379B588D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75391" w14:textId="4F1C595E" w:rsidR="00A71995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Miscellaneous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DA51D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0F4B" w14:textId="358444EF" w:rsidR="00A71995" w:rsidRPr="00E1758E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7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7.98</w:t>
            </w:r>
          </w:p>
        </w:tc>
      </w:tr>
      <w:tr w:rsidR="00A71995" w:rsidRPr="00D6784A" w14:paraId="5592D4DB" w14:textId="77777777" w:rsidTr="00BE7E92">
        <w:trPr>
          <w:gridAfter w:val="22"/>
          <w:wAfter w:w="15271" w:type="dxa"/>
          <w:trHeight w:val="29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F497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106" w14:textId="77777777" w:rsidR="00A71995" w:rsidRPr="00D6784A" w:rsidRDefault="00A71995" w:rsidP="00D67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8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178C" w14:textId="1CB95172" w:rsidR="00A71995" w:rsidRPr="00D6784A" w:rsidRDefault="00A71995" w:rsidP="00D678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25,510.00</w:t>
            </w:r>
          </w:p>
        </w:tc>
      </w:tr>
      <w:tr w:rsidR="00984C78" w:rsidRPr="00984C78" w14:paraId="24E27BFD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82B4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512193" w14:textId="4231BBA2" w:rsidR="00984C78" w:rsidRPr="00984C78" w:rsidRDefault="00984C78" w:rsidP="0025480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81FBFC" w14:textId="401A0B56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ACEED9" w14:textId="2CD9F1B2" w:rsidR="00984C78" w:rsidRPr="00984C78" w:rsidRDefault="00984C78" w:rsidP="002548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540839" w14:textId="0F5AE398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CC4341" w14:textId="77B5AA80" w:rsidR="00984C78" w:rsidRPr="00984C78" w:rsidRDefault="00984C78" w:rsidP="0098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3CF891" w14:textId="5C4C5715" w:rsidR="00984C78" w:rsidRPr="00984C78" w:rsidRDefault="00984C78" w:rsidP="0098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18B85B" w14:textId="4C4A5FDC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654132" w14:textId="60E8567A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2CF3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53A3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72EC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9E66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B98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FCA1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8777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D243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47F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8FE8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A802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3279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2BA6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4D72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E759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7E4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0608AA94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B582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18F5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48E71" w14:textId="36018E07" w:rsidR="00984C78" w:rsidRPr="00BE7E92" w:rsidRDefault="00BE7E92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Expenditure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94184" w14:textId="1231D63E" w:rsidR="00984C78" w:rsidRPr="00BE7E92" w:rsidRDefault="00BE7E92" w:rsidP="0098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E7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Actual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3553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83CC1" w14:textId="77777777" w:rsidR="00984C78" w:rsidRPr="00984C78" w:rsidRDefault="00984C78" w:rsidP="0098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66A6" w14:textId="5900B026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  <w:r w:rsidR="00BE7E9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Budgeted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19A1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034A6" w14:textId="0B4B0DA8" w:rsidR="00984C78" w:rsidRPr="00BE7E92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BE7E92" w:rsidRPr="00BE7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Variance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0A02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D5F9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A340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B8FB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64EA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351D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6F59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E8A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1B15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E628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6A6C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73B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A0A4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91FE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ADB0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0A4A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5590240B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AD6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E419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BFA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Pavilion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17764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DF07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28AE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56E7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B50C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6A6B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1B1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F0C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280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7B30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B80D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975D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9ACF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E4C7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9248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A8BE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626B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7EF6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73F3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11F2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3D3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B22B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44D8303A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981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F230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031A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Materials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E2A57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461.95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B0E7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5DFCB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720F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7D89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C788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538.05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9FB2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44AD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85E9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0C48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15A4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1DFD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5FB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6BE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096A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13D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2BA0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69A3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738B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7FE1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B1C4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7E56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271B977D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F078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F789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2107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Oil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DCC36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598.67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03BE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7431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4D2D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88E7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F4733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(98.67)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B37A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40B5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3EF7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2A9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97B5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E3B1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E6E2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38A1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513E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981A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08DE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FEE3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3A3E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C30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0F10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AB12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77C39846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F5A3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4FEF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5534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Electric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8513D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583.60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15C7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509C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45115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78B4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6741E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(83.60)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502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CDD4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2005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362F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79BE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3E8F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D50F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78D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3553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86CD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4D38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447F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AECF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06AD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0523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DD43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60A6C921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5A22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A7B3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6175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B4CE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586.85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5A3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8F7AD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27FD1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E48D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D7117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(286.85)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86B6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D256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1029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C365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C796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A0BD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4B2B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7C84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B2A6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7983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8A45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6912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C3BE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2A42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0051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13C6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04836101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EDA0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FB6C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3E7F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Refurbishment of assets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588D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3,629.40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FFC0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56F0B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1B730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2,500.00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D7D2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6733E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(1,129.40)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FEEF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F1A4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EDCA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3862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425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B1A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47B9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7053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0A86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9A74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0E2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3EE2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5162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ECB6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DF8F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380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0E9CBF2E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D0B8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FB4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8C13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Fire safety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8572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66.72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56C9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3670B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05D0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B6D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D589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133.28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D64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3A5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7A9B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6F0E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5A25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0DEA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BB09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B87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D940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3B2B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D0ED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F5CE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C852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D04A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8728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7D0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4909A475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EF35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95FB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8C70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Boiler service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8BE3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75B3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32F23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429C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2BB5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AA7FD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B809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0AEA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8B39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EF5B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4132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F1A6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3CDF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11E3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151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41B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063F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146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3C88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0A8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75F3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C5E4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1FC39E10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6EE1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92DD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16FFE" w14:textId="7F4C0268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Tree and </w:t>
            </w:r>
            <w:r w:rsidR="00BE7E92"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groundwork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25503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640.80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449F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5E4C5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605D9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B3D1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33401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(140.80)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F015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39E4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052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22FA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A8B8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6C76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C97B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B3B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EB5A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C1A3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998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DB3C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A9C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9C74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EFCA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EA6D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441A4879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8D6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3733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8E36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96E3E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642.40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7095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EB0D1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03B7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5496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D46DD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(642.40)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4555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AC84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1B47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60CC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1C2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3759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DEC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1F4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0EBD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447C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3AC9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0CEE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E810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804B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8C16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9B1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7A2DCE9E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B2D9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1A9D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D73B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Administration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D5927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1D1A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5057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0054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7DE4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6D69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3D47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E97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B6D5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DBCA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A3E2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F844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2B2B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152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7D20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243F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6559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3DA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E074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A7BE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EF9A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19E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6D0FCFEC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C6E7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6E12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8CD7E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Salaries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02E5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8,313.86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DC79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E065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599B5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7,200.00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A2D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14BFA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(1,113.86)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68B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5B5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1066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0287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D1EC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3291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D0F6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5DD4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5EED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87AF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2E27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6A0F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AAE6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16A9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27C5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907D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17EABAF9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88FB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1B0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BCAEE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Clerks Expenses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F6E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307.55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0CE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70C0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6701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8127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9BB86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(107.55)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BB80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0C9A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4D9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AD1D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006C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107F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C4CD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E10A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1CA6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FD02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13B1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5A44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CCCA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402B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96E2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41DD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18862FF0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3967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FE29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49DC2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Subscriptions &amp; Audit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12B0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1,254.22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AC36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71B9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B1DBE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1,100.00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D5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56A36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(154.22)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859E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DED4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4880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30FB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FC36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7A53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A6A0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16A3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4FFF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BCEB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525B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511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40D1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6CDE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5C04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E47D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16B4B633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9CC3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B9B5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33823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Insurance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8741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861.74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AC21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4173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C4BD0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950.00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53D7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2A11E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88.26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BD4E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3E6C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5A7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39E1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97F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8C10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360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19AC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AC88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B20B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3894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B02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1957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F343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3213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DD86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1783D4BA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E8BE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9474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03108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Training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5C943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1,169.60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6F98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EFF3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0C427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205B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95D8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(869.60)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55E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3A33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861D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D990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4259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2E47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4E9C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8504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925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7696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26A4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32C6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B881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0D34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69E2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E9AC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30B2E867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4ABA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9F57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AC13B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Mileage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3B699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0CD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A7A6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5F2F9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50.00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6E71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2744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82C7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F16D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B295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CD6A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3906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84B3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378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FFE0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0DB7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008F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405E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4E8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8623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BC0C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F570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98A7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4636103F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A8F1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0066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54DD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Election Expenses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E8C0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E0DE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752D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11336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ADF0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BC6CD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6481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96FB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021B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9451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C496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93AF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86FF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D680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D691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5F4F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499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ECC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8963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8A89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830B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205D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1C172F00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4015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36A1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9391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 Charges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FE73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107.15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539B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3DF1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19B38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797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17C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92.85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5508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F505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9F8C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944E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5399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04B3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2A7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29C0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9792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9FCF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9EC1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1E2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52B0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0396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7E45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08E7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374B7557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2C18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508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927E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Events / Misc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BBE9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BE7F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E0C2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3FF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F867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7487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4F6F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26E5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FE3E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829F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5A1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F674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A5A6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DC3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1B41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EAA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45A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2710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5DA7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4D1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A46B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8045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1BFE2CC8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16E7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869C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01BB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Platinum Jubilee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53CF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185.17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1E93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CB00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90C14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11C7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D6908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(185.17)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181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12A4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0283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446F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40C6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DE4D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05F1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2F6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236B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8DC5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A171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1E7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1070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69A6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EA15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F348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605378D9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8A81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4122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93FA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Fireworks Display Costs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CCF86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1,135.00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2354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39AD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8426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1,300.00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980B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C48B2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DA87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3870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F4C0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40BB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1882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0130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6165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3963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6A5E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86F2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D275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A743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A473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BCB6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6D29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7A5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3022D499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00D9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68E9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8C87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Pavilion Extension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F4B03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D6B1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2F3C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EF4A1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BAE8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2B240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D393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89F0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A14F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3AC8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DF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BD6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2EF5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5AAC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5BF5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AD3D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D810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C8E1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2DA7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3312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0F0D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556E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0DC5CAD5" w14:textId="77777777" w:rsidTr="009A0AF6">
        <w:trPr>
          <w:trHeight w:val="2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2C9C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382C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E713" w14:textId="77777777" w:rsidR="00984C78" w:rsidRPr="00984C78" w:rsidRDefault="00984C78" w:rsidP="00984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C78">
              <w:rPr>
                <w:rFonts w:ascii="Calibri" w:eastAsia="Times New Roman" w:hAnsi="Calibri" w:cs="Calibri"/>
                <w:color w:val="000000"/>
                <w:lang w:eastAsia="en-GB"/>
              </w:rPr>
              <w:t>Professional fees Cransley Road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CB053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533A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41F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07299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92C5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656B4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8F61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644E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EE6C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840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9914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7A07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4EF1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5461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E6FB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A26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280D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4850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032B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7444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3BD9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D73F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6CDE0AB5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2FE9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E671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67F1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Donations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6F1CC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6E16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2BC8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88F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C90A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2838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ED1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2177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B7C7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380B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E5E0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AE39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969D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E95C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5CFD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4047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BFF0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3996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6A9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3496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485E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1EEA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7E160237" w14:textId="77777777" w:rsidTr="009A0AF6">
        <w:trPr>
          <w:trHeight w:val="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DB3D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A3E1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BD3A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Asset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3F129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439.00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7618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625C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42F0B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D744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2222D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(439.00)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6118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772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8EAB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1D52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C505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281B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6B27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9D53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E2E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F2AD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B28F0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E46D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FB2A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1AF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74F7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5FB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51199A44" w14:textId="77777777" w:rsidTr="009A0AF6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EDD6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0717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CB84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6F09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86E1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3C8F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15B2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30CE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2F6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E0D2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AAA3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0EA2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3C2C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C8E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FD8E8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079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CCE0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88F6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31AD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AA16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F7FED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A32E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FEDC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1015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D6CF4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84C78" w:rsidRPr="00984C78" w14:paraId="6060FD4E" w14:textId="77777777" w:rsidTr="009A0AF6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0036F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0A64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782F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794F9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21,093.68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ACF2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8E11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FB008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17,400.00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0EEBC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3753F" w14:textId="77777777" w:rsidR="00984C78" w:rsidRPr="00984C78" w:rsidRDefault="00984C78" w:rsidP="0098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(3,693.68)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5A84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5CD6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2DA1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15653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98A0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08975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6045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1D48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7A36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45FC7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B404A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E3F6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3619B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4559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388D9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5B942" w14:textId="77777777" w:rsidR="00984C78" w:rsidRPr="00984C78" w:rsidRDefault="00984C78" w:rsidP="00984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4C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5D3939E" w14:textId="77777777" w:rsidR="00270B44" w:rsidRDefault="00270B44" w:rsidP="00984C7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270B4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B5B4CD" w14:textId="7307002F" w:rsidR="001C1E94" w:rsidRDefault="00221DE1">
      <w:pPr>
        <w:rPr>
          <w:rFonts w:ascii="Arial" w:hAnsi="Arial" w:cs="Arial"/>
        </w:rPr>
      </w:pPr>
      <w:r w:rsidRPr="00B404C6">
        <w:rPr>
          <w:rFonts w:ascii="Arial" w:hAnsi="Arial" w:cs="Arial"/>
        </w:rPr>
        <w:lastRenderedPageBreak/>
        <w:t>Actual expenditure was in excess of</w:t>
      </w:r>
      <w:r w:rsidR="00373A63">
        <w:rPr>
          <w:rFonts w:ascii="Arial" w:hAnsi="Arial" w:cs="Arial"/>
        </w:rPr>
        <w:t xml:space="preserve"> that</w:t>
      </w:r>
      <w:r w:rsidRPr="00B404C6">
        <w:rPr>
          <w:rFonts w:ascii="Arial" w:hAnsi="Arial" w:cs="Arial"/>
        </w:rPr>
        <w:t xml:space="preserve"> budget</w:t>
      </w:r>
      <w:r w:rsidR="00373A63">
        <w:rPr>
          <w:rFonts w:ascii="Arial" w:hAnsi="Arial" w:cs="Arial"/>
        </w:rPr>
        <w:t>ed</w:t>
      </w:r>
      <w:r w:rsidR="00B404C6">
        <w:rPr>
          <w:rFonts w:ascii="Arial" w:hAnsi="Arial" w:cs="Arial"/>
        </w:rPr>
        <w:t xml:space="preserve">. </w:t>
      </w:r>
      <w:r w:rsidR="00B404C6">
        <w:rPr>
          <w:rFonts w:ascii="Arial" w:hAnsi="Arial" w:cs="Arial"/>
        </w:rPr>
        <w:t>The variance for each expenditure heading is detailed and some explanations are provided below. The most significant variance</w:t>
      </w:r>
      <w:r w:rsidR="00B404C6">
        <w:rPr>
          <w:rFonts w:ascii="Arial" w:hAnsi="Arial" w:cs="Arial"/>
        </w:rPr>
        <w:t>s</w:t>
      </w:r>
      <w:r w:rsidR="00B404C6">
        <w:rPr>
          <w:rFonts w:ascii="Arial" w:hAnsi="Arial" w:cs="Arial"/>
        </w:rPr>
        <w:t xml:space="preserve"> w</w:t>
      </w:r>
      <w:r w:rsidR="00B404C6">
        <w:rPr>
          <w:rFonts w:ascii="Arial" w:hAnsi="Arial" w:cs="Arial"/>
        </w:rPr>
        <w:t>ere</w:t>
      </w:r>
      <w:r w:rsidR="001C1E94">
        <w:rPr>
          <w:rFonts w:ascii="Arial" w:hAnsi="Arial" w:cs="Arial"/>
        </w:rPr>
        <w:t xml:space="preserve">:   </w:t>
      </w:r>
    </w:p>
    <w:p w14:paraId="58478E8A" w14:textId="11FA92EF" w:rsidR="00FE674E" w:rsidRDefault="001C1E94" w:rsidP="001C1E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404C6" w:rsidRPr="001C1E94">
        <w:rPr>
          <w:rFonts w:ascii="Arial" w:hAnsi="Arial" w:cs="Arial"/>
        </w:rPr>
        <w:t>efurbishment of assets</w:t>
      </w:r>
      <w:r>
        <w:rPr>
          <w:rFonts w:ascii="Arial" w:hAnsi="Arial" w:cs="Arial"/>
        </w:rPr>
        <w:t>-</w:t>
      </w:r>
      <w:r w:rsidR="00D63602">
        <w:rPr>
          <w:rFonts w:ascii="Arial" w:hAnsi="Arial" w:cs="Arial"/>
        </w:rPr>
        <w:t xml:space="preserve"> which included construction of a retaining wall</w:t>
      </w:r>
    </w:p>
    <w:p w14:paraId="3838D8C2" w14:textId="2B984AEF" w:rsidR="00D63602" w:rsidRDefault="00D63602" w:rsidP="001C1E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Salaries- </w:t>
      </w:r>
      <w:r w:rsidR="005C4EB9">
        <w:rPr>
          <w:rFonts w:ascii="Arial" w:hAnsi="Arial" w:cs="Arial"/>
        </w:rPr>
        <w:t>There was a significant pay rise this year and extra hours for CILCA</w:t>
      </w:r>
    </w:p>
    <w:p w14:paraId="12447E74" w14:textId="42A608D8" w:rsidR="005C4EB9" w:rsidRDefault="005C4EB9" w:rsidP="001C1E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Legal costs</w:t>
      </w:r>
      <w:r w:rsidR="005C3F8C">
        <w:rPr>
          <w:rFonts w:ascii="Arial" w:hAnsi="Arial" w:cs="Arial"/>
        </w:rPr>
        <w:t xml:space="preserve"> for land registry work</w:t>
      </w:r>
    </w:p>
    <w:p w14:paraId="0F9ED972" w14:textId="1D95C273" w:rsidR="005C3F8C" w:rsidRDefault="005C3F8C" w:rsidP="001C1E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new parish laptop was purchased</w:t>
      </w:r>
    </w:p>
    <w:p w14:paraId="2E0C35E0" w14:textId="5EC70708" w:rsidR="005C3F8C" w:rsidRDefault="005C3F8C" w:rsidP="001C1E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Training costs </w:t>
      </w:r>
      <w:r w:rsidR="0037694F">
        <w:rPr>
          <w:rFonts w:ascii="Arial" w:hAnsi="Arial" w:cs="Arial"/>
        </w:rPr>
        <w:t>increased due to CILCA training</w:t>
      </w:r>
    </w:p>
    <w:p w14:paraId="1BCB45E9" w14:textId="021944FE" w:rsidR="0037694F" w:rsidRDefault="0037694F" w:rsidP="001C1E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Platinum jubilee celebrations were funded</w:t>
      </w:r>
    </w:p>
    <w:p w14:paraId="29EDDDC6" w14:textId="6B981FCB" w:rsidR="0037694F" w:rsidRPr="000D7233" w:rsidRDefault="0037694F" w:rsidP="002A14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D7233">
        <w:rPr>
          <w:rFonts w:ascii="Arial" w:hAnsi="Arial" w:cs="Arial"/>
        </w:rPr>
        <w:t xml:space="preserve">All costs increased substantially due to </w:t>
      </w:r>
      <w:r w:rsidR="000D7233" w:rsidRPr="000D7233">
        <w:rPr>
          <w:rFonts w:ascii="Arial" w:hAnsi="Arial" w:cs="Arial"/>
        </w:rPr>
        <w:t>cost-of-living</w:t>
      </w:r>
      <w:r w:rsidRPr="000D7233">
        <w:rPr>
          <w:rFonts w:ascii="Arial" w:hAnsi="Arial" w:cs="Arial"/>
        </w:rPr>
        <w:t xml:space="preserve"> increases</w:t>
      </w:r>
    </w:p>
    <w:p w14:paraId="3ABC04E8" w14:textId="010DE88F" w:rsidR="0037694F" w:rsidRDefault="0037694F" w:rsidP="0037694F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0D7233">
        <w:rPr>
          <w:rFonts w:ascii="Arial" w:hAnsi="Arial" w:cs="Arial"/>
        </w:rPr>
        <w:t xml:space="preserve"> closing balances were</w:t>
      </w:r>
      <w:r w:rsidR="00D243D6">
        <w:rPr>
          <w:rFonts w:ascii="Arial" w:hAnsi="Arial" w:cs="Arial"/>
        </w:rPr>
        <w:t xml:space="preserve"> </w:t>
      </w:r>
      <w:r w:rsidR="006E1A59">
        <w:rPr>
          <w:rFonts w:ascii="Arial" w:hAnsi="Arial" w:cs="Arial"/>
        </w:rPr>
        <w:t>£8,801 and £</w:t>
      </w:r>
      <w:r w:rsidR="00251AF9">
        <w:rPr>
          <w:rFonts w:ascii="Arial" w:hAnsi="Arial" w:cs="Arial"/>
        </w:rPr>
        <w:t>12,241 in the Fighting Fund.  This unfortunately has led to a substantial increase in the precept for the new year</w:t>
      </w:r>
      <w:r w:rsidR="00DC1D8B">
        <w:rPr>
          <w:rFonts w:ascii="Arial" w:hAnsi="Arial" w:cs="Arial"/>
        </w:rPr>
        <w:t xml:space="preserve"> to 13,450</w:t>
      </w:r>
      <w:r w:rsidR="00DA5D5D">
        <w:rPr>
          <w:rFonts w:ascii="Arial" w:hAnsi="Arial" w:cs="Arial"/>
        </w:rPr>
        <w:t>.</w:t>
      </w:r>
    </w:p>
    <w:p w14:paraId="22942DDE" w14:textId="77777777" w:rsidR="00373A63" w:rsidRDefault="00373A63" w:rsidP="0037694F">
      <w:pPr>
        <w:rPr>
          <w:rFonts w:ascii="Arial" w:hAnsi="Arial" w:cs="Arial"/>
        </w:rPr>
      </w:pPr>
    </w:p>
    <w:p w14:paraId="6D4D191A" w14:textId="77777777" w:rsidR="00373A63" w:rsidRDefault="00373A63" w:rsidP="00373A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Jane Mann</w:t>
      </w:r>
    </w:p>
    <w:p w14:paraId="41C8F028" w14:textId="77777777" w:rsidR="00373A63" w:rsidRDefault="00373A63" w:rsidP="00373A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Clerk and Responsible Financial Officer</w:t>
      </w:r>
    </w:p>
    <w:p w14:paraId="54B21628" w14:textId="5660670F" w:rsidR="00373A63" w:rsidRPr="00D07D93" w:rsidRDefault="00373A63" w:rsidP="00373A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May 202</w:t>
      </w:r>
      <w:r>
        <w:rPr>
          <w:rFonts w:ascii="Arial" w:hAnsi="Arial" w:cs="Arial"/>
          <w:b/>
          <w:bCs/>
        </w:rPr>
        <w:t>3</w:t>
      </w:r>
    </w:p>
    <w:p w14:paraId="6FA02234" w14:textId="77777777" w:rsidR="00373A63" w:rsidRPr="0037694F" w:rsidRDefault="00373A63" w:rsidP="0037694F">
      <w:pPr>
        <w:rPr>
          <w:rFonts w:ascii="Arial" w:hAnsi="Arial" w:cs="Arial"/>
        </w:rPr>
      </w:pPr>
    </w:p>
    <w:sectPr w:rsidR="00373A63" w:rsidRPr="00376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D111A"/>
    <w:multiLevelType w:val="hybridMultilevel"/>
    <w:tmpl w:val="7104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3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35"/>
    <w:rsid w:val="00051D23"/>
    <w:rsid w:val="0006515D"/>
    <w:rsid w:val="00084F5D"/>
    <w:rsid w:val="000A6BBA"/>
    <w:rsid w:val="000D7233"/>
    <w:rsid w:val="00162071"/>
    <w:rsid w:val="001C1E94"/>
    <w:rsid w:val="00221DE1"/>
    <w:rsid w:val="002259AF"/>
    <w:rsid w:val="00251AF9"/>
    <w:rsid w:val="00254808"/>
    <w:rsid w:val="00263E38"/>
    <w:rsid w:val="00270B44"/>
    <w:rsid w:val="002C2F01"/>
    <w:rsid w:val="00373A63"/>
    <w:rsid w:val="0037694F"/>
    <w:rsid w:val="003A5FDC"/>
    <w:rsid w:val="003F40FB"/>
    <w:rsid w:val="004A02E2"/>
    <w:rsid w:val="00512217"/>
    <w:rsid w:val="00573777"/>
    <w:rsid w:val="005C3F8C"/>
    <w:rsid w:val="005C4EB9"/>
    <w:rsid w:val="005D5006"/>
    <w:rsid w:val="006E1A59"/>
    <w:rsid w:val="00717DD6"/>
    <w:rsid w:val="00775C35"/>
    <w:rsid w:val="007E1185"/>
    <w:rsid w:val="0087453B"/>
    <w:rsid w:val="00984C78"/>
    <w:rsid w:val="009A0AF6"/>
    <w:rsid w:val="009F4EB2"/>
    <w:rsid w:val="00A44E59"/>
    <w:rsid w:val="00A71995"/>
    <w:rsid w:val="00AB47AF"/>
    <w:rsid w:val="00B404C6"/>
    <w:rsid w:val="00BE7E92"/>
    <w:rsid w:val="00C8678F"/>
    <w:rsid w:val="00CA5020"/>
    <w:rsid w:val="00D243D6"/>
    <w:rsid w:val="00D63602"/>
    <w:rsid w:val="00D6784A"/>
    <w:rsid w:val="00DA5D5D"/>
    <w:rsid w:val="00DC1D8B"/>
    <w:rsid w:val="00E1758E"/>
    <w:rsid w:val="00EB02D7"/>
    <w:rsid w:val="00F91835"/>
    <w:rsid w:val="00F94F54"/>
    <w:rsid w:val="00F97380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9559"/>
  <w15:chartTrackingRefBased/>
  <w15:docId w15:val="{2E4F7C0D-C037-4C38-AE56-C3CB4AC1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3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4C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C78"/>
    <w:rPr>
      <w:color w:val="954F72"/>
      <w:u w:val="single"/>
    </w:rPr>
  </w:style>
  <w:style w:type="paragraph" w:customStyle="1" w:styleId="msonormal0">
    <w:name w:val="msonormal"/>
    <w:basedOn w:val="Normal"/>
    <w:rsid w:val="009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7">
    <w:name w:val="xl67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u w:val="single"/>
      <w:lang w:eastAsia="en-GB"/>
    </w:rPr>
  </w:style>
  <w:style w:type="paragraph" w:customStyle="1" w:styleId="xl68">
    <w:name w:val="xl68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xl70">
    <w:name w:val="xl70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xl73">
    <w:name w:val="xl73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5">
    <w:name w:val="xl75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6">
    <w:name w:val="xl76"/>
    <w:basedOn w:val="Normal"/>
    <w:rsid w:val="00984C78"/>
    <w:pPr>
      <w:pBdr>
        <w:top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7">
    <w:name w:val="xl77"/>
    <w:basedOn w:val="Normal"/>
    <w:rsid w:val="00984C78"/>
    <w:pPr>
      <w:pBdr>
        <w:top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xl78">
    <w:name w:val="xl78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9">
    <w:name w:val="xl79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0">
    <w:name w:val="xl80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1">
    <w:name w:val="xl81"/>
    <w:basedOn w:val="Normal"/>
    <w:rsid w:val="00984C7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2">
    <w:name w:val="xl82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3">
    <w:name w:val="xl83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xl85">
    <w:name w:val="xl85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en-GB"/>
    </w:rPr>
  </w:style>
  <w:style w:type="paragraph" w:customStyle="1" w:styleId="xl86">
    <w:name w:val="xl86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7">
    <w:name w:val="xl87"/>
    <w:basedOn w:val="Normal"/>
    <w:rsid w:val="00984C7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8">
    <w:name w:val="xl88"/>
    <w:basedOn w:val="Normal"/>
    <w:rsid w:val="00984C7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9">
    <w:name w:val="xl89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0"/>
      <w:u w:val="single"/>
      <w:lang w:eastAsia="en-GB"/>
    </w:rPr>
  </w:style>
  <w:style w:type="paragraph" w:customStyle="1" w:styleId="xl91">
    <w:name w:val="xl91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2">
    <w:name w:val="xl92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3">
    <w:name w:val="xl93"/>
    <w:basedOn w:val="Normal"/>
    <w:rsid w:val="00984C78"/>
    <w:pPr>
      <w:pBdr>
        <w:top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4">
    <w:name w:val="xl94"/>
    <w:basedOn w:val="Normal"/>
    <w:rsid w:val="00984C7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5">
    <w:name w:val="xl95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96">
    <w:name w:val="xl96"/>
    <w:basedOn w:val="Normal"/>
    <w:rsid w:val="00984C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97">
    <w:name w:val="xl97"/>
    <w:basedOn w:val="Normal"/>
    <w:rsid w:val="00984C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3C9E-5F35-4C23-A2EE-F0F0B6AC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Clerk.Loddington Parish Council</dc:creator>
  <cp:keywords/>
  <dc:description/>
  <cp:lastModifiedBy>Clerk.Loddington Parish Council</cp:lastModifiedBy>
  <cp:revision>47</cp:revision>
  <dcterms:created xsi:type="dcterms:W3CDTF">2023-05-01T21:13:00Z</dcterms:created>
  <dcterms:modified xsi:type="dcterms:W3CDTF">2023-05-04T11:26:00Z</dcterms:modified>
</cp:coreProperties>
</file>